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B7F75" w14:textId="4D7BD9C2" w:rsidR="00F60287" w:rsidRPr="00F14C43" w:rsidRDefault="00F14C43" w:rsidP="00F14C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C43">
        <w:rPr>
          <w:rFonts w:ascii="Times New Roman" w:hAnsi="Times New Roman" w:cs="Times New Roman"/>
          <w:b/>
          <w:bCs/>
          <w:sz w:val="24"/>
          <w:szCs w:val="24"/>
        </w:rPr>
        <w:t>Pytania i odpowiedzi</w:t>
      </w:r>
    </w:p>
    <w:p w14:paraId="606BFF79" w14:textId="4AC6235A" w:rsidR="00F14C43" w:rsidRPr="00F14C43" w:rsidRDefault="00F14C43" w:rsidP="00F14C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C43">
        <w:rPr>
          <w:rFonts w:ascii="Times New Roman" w:hAnsi="Times New Roman" w:cs="Times New Roman"/>
          <w:b/>
          <w:bCs/>
          <w:sz w:val="24"/>
          <w:szCs w:val="24"/>
        </w:rPr>
        <w:t>Termomodernizacja budynku użyteczności publicznej oraz budowa infrastruktury turystycznej i towarzyszącej w miejscowościach Gminy Milejewo.</w:t>
      </w:r>
    </w:p>
    <w:p w14:paraId="74F3888E" w14:textId="77777777" w:rsidR="00F14C43" w:rsidRPr="00F14C43" w:rsidRDefault="00F14C43" w:rsidP="00F14C43">
      <w:pPr>
        <w:rPr>
          <w:rFonts w:ascii="Times New Roman" w:hAnsi="Times New Roman" w:cs="Times New Roman"/>
          <w:sz w:val="24"/>
          <w:szCs w:val="24"/>
        </w:rPr>
      </w:pPr>
    </w:p>
    <w:p w14:paraId="2014F4C1" w14:textId="30306DB3" w:rsidR="00F14C43" w:rsidRPr="00F14C43" w:rsidRDefault="00F14C43" w:rsidP="00F14C43">
      <w:pPr>
        <w:rPr>
          <w:rFonts w:ascii="Times New Roman" w:hAnsi="Times New Roman" w:cs="Times New Roman"/>
          <w:sz w:val="24"/>
          <w:szCs w:val="24"/>
        </w:rPr>
      </w:pPr>
      <w:r w:rsidRPr="00F14C43">
        <w:rPr>
          <w:rFonts w:ascii="Times New Roman" w:hAnsi="Times New Roman" w:cs="Times New Roman"/>
          <w:sz w:val="24"/>
          <w:szCs w:val="24"/>
        </w:rPr>
        <w:t>Część 1:</w:t>
      </w:r>
    </w:p>
    <w:p w14:paraId="4256CD15" w14:textId="77777777" w:rsidR="00F14C43" w:rsidRPr="00F14C43" w:rsidRDefault="00F14C43" w:rsidP="00F14C43">
      <w:pPr>
        <w:rPr>
          <w:rFonts w:ascii="Times New Roman" w:hAnsi="Times New Roman" w:cs="Times New Roman"/>
          <w:sz w:val="24"/>
          <w:szCs w:val="24"/>
        </w:rPr>
      </w:pPr>
    </w:p>
    <w:p w14:paraId="70538DBA" w14:textId="7C4E85F2" w:rsidR="00F14C43" w:rsidRPr="00F14C43" w:rsidRDefault="00F14C43" w:rsidP="00F14C43">
      <w:pPr>
        <w:rPr>
          <w:rFonts w:ascii="Times New Roman" w:hAnsi="Times New Roman" w:cs="Times New Roman"/>
          <w:sz w:val="24"/>
          <w:szCs w:val="24"/>
        </w:rPr>
      </w:pPr>
      <w:r w:rsidRPr="00F14C43">
        <w:rPr>
          <w:rFonts w:ascii="Times New Roman" w:hAnsi="Times New Roman" w:cs="Times New Roman"/>
          <w:sz w:val="24"/>
          <w:szCs w:val="24"/>
        </w:rPr>
        <w:t>Część 2:</w:t>
      </w:r>
    </w:p>
    <w:p w14:paraId="1825DA3D" w14:textId="58ED8913" w:rsidR="00F14C43" w:rsidRPr="00F14C43" w:rsidRDefault="00F14C43" w:rsidP="00F14C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C43">
        <w:rPr>
          <w:rFonts w:ascii="Times New Roman" w:hAnsi="Times New Roman" w:cs="Times New Roman"/>
          <w:sz w:val="24"/>
          <w:szCs w:val="24"/>
        </w:rPr>
        <w:t>Czy Zamawiający dopuszcza konstrukcję wieży widokowej jako stalowo- drewnianą?</w:t>
      </w:r>
    </w:p>
    <w:p w14:paraId="2B1CAF23" w14:textId="04684ABB" w:rsidR="00F14C43" w:rsidRPr="00F14C43" w:rsidRDefault="00F14C43" w:rsidP="00F14C43">
      <w:pPr>
        <w:pStyle w:val="Akapitzlist"/>
        <w:spacing w:after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4C43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Pr="00F14C43">
        <w:rPr>
          <w:rFonts w:ascii="Times New Roman" w:hAnsi="Times New Roman" w:cs="Times New Roman"/>
          <w:sz w:val="24"/>
          <w:szCs w:val="24"/>
        </w:rPr>
        <w:t xml:space="preserve"> Dopuszcza się wykorzystanie konstrukcji wieży stalowo-drewnianej, </w:t>
      </w:r>
      <w:r>
        <w:rPr>
          <w:rFonts w:ascii="Times New Roman" w:hAnsi="Times New Roman" w:cs="Times New Roman"/>
          <w:sz w:val="24"/>
          <w:szCs w:val="24"/>
        </w:rPr>
        <w:br/>
      </w:r>
      <w:r w:rsidRPr="00F14C43">
        <w:rPr>
          <w:rFonts w:ascii="Times New Roman" w:hAnsi="Times New Roman" w:cs="Times New Roman"/>
          <w:sz w:val="24"/>
          <w:szCs w:val="24"/>
        </w:rPr>
        <w:t>jeśli nie wpłynie to na wzrost wartości inwestycji.</w:t>
      </w:r>
    </w:p>
    <w:p w14:paraId="37D2D14B" w14:textId="5739BC47" w:rsidR="00F14C43" w:rsidRPr="00F14C43" w:rsidRDefault="00F14C43" w:rsidP="00F14C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C43">
        <w:rPr>
          <w:rFonts w:ascii="Times New Roman" w:hAnsi="Times New Roman" w:cs="Times New Roman"/>
          <w:sz w:val="24"/>
          <w:szCs w:val="24"/>
        </w:rPr>
        <w:t>Czy do miejsca planowanej Inwestycji jest możliwość dojazdu sprzętem ciężkim, typu gruszka z betonem, samochody dostawcze, ewentualnie dźwig ? 2. Czy teren przewidziany pod wieże widokowa, wiatę parking, wymaga wycinki drzew, krzewów?</w:t>
      </w:r>
    </w:p>
    <w:p w14:paraId="53CE6A4F" w14:textId="300799C3" w:rsidR="00F14C43" w:rsidRPr="00F14C43" w:rsidRDefault="00F14C43" w:rsidP="00F14C4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14C43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Pr="00F14C43">
        <w:rPr>
          <w:rFonts w:ascii="Times New Roman" w:hAnsi="Times New Roman" w:cs="Times New Roman"/>
          <w:sz w:val="24"/>
          <w:szCs w:val="24"/>
        </w:rPr>
        <w:t xml:space="preserve"> Na czas budowy przejazd dla Wykonawcy zostanie udostępniony </w:t>
      </w:r>
      <w:r>
        <w:rPr>
          <w:rFonts w:ascii="Times New Roman" w:hAnsi="Times New Roman" w:cs="Times New Roman"/>
          <w:sz w:val="24"/>
          <w:szCs w:val="24"/>
        </w:rPr>
        <w:br/>
      </w:r>
      <w:r w:rsidRPr="00F14C43">
        <w:rPr>
          <w:rFonts w:ascii="Times New Roman" w:hAnsi="Times New Roman" w:cs="Times New Roman"/>
          <w:sz w:val="24"/>
          <w:szCs w:val="24"/>
        </w:rPr>
        <w:t>przy wykorzystaniu istniejącego traktu pieszego, z zastrzeżeniem, że po zakończeniu prac zostanie on przywrócony do stanu pierwotnego. Na terenie wykonania inwestycji przewiduje się wycinkę drzew i krzewów.</w:t>
      </w:r>
    </w:p>
    <w:sectPr w:rsidR="00F14C43" w:rsidRPr="00F14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B7A7D"/>
    <w:multiLevelType w:val="hybridMultilevel"/>
    <w:tmpl w:val="EBFE0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62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43"/>
    <w:rsid w:val="004D3B16"/>
    <w:rsid w:val="00F14C43"/>
    <w:rsid w:val="00F6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CBCC"/>
  <w15:chartTrackingRefBased/>
  <w15:docId w15:val="{5C7B13EA-96E9-4BB9-B554-88234251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775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1</cp:revision>
  <dcterms:created xsi:type="dcterms:W3CDTF">2024-06-19T12:31:00Z</dcterms:created>
  <dcterms:modified xsi:type="dcterms:W3CDTF">2024-06-19T12:37:00Z</dcterms:modified>
</cp:coreProperties>
</file>