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693364" w14:textId="77777777" w:rsidR="001035F2" w:rsidRPr="001035F2" w:rsidRDefault="001035F2" w:rsidP="00F0647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79C35C3" w14:textId="77777777" w:rsidR="001035F2" w:rsidRPr="001035F2" w:rsidRDefault="001035F2" w:rsidP="00123A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6E3BB6E" w14:textId="3F73C7D5" w:rsidR="001035F2" w:rsidRPr="001035F2" w:rsidRDefault="00D76082" w:rsidP="00F0647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  <w:r w:rsidRPr="001035F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Milejewo</w:t>
      </w:r>
      <w:r w:rsidRPr="00D7608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, </w:t>
      </w:r>
      <w:r w:rsidR="001C56ED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27</w:t>
      </w:r>
      <w:r w:rsidRPr="001035F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września</w:t>
      </w:r>
      <w:r w:rsidRPr="00D7608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2023 r.</w:t>
      </w:r>
      <w:r w:rsidRPr="00D7608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</w:p>
    <w:p w14:paraId="3CD70EEE" w14:textId="77777777" w:rsidR="001035F2" w:rsidRPr="001035F2" w:rsidRDefault="001035F2" w:rsidP="00F0647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</w:p>
    <w:p w14:paraId="2C15C6EC" w14:textId="77777777" w:rsidR="001035F2" w:rsidRPr="001035F2" w:rsidRDefault="001035F2" w:rsidP="00F0647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</w:p>
    <w:p w14:paraId="0AA7B1A7" w14:textId="77777777" w:rsidR="001035F2" w:rsidRPr="001035F2" w:rsidRDefault="001035F2" w:rsidP="00F06476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</w:p>
    <w:p w14:paraId="4AEAF16D" w14:textId="77777777" w:rsidR="001035F2" w:rsidRPr="001035F2" w:rsidRDefault="001035F2" w:rsidP="00123A2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</w:pPr>
    </w:p>
    <w:p w14:paraId="6F3ECFB8" w14:textId="66E55466" w:rsidR="00D76082" w:rsidRPr="00D76082" w:rsidRDefault="00D76082" w:rsidP="00123A26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ZAPROSZENIE DO ZŁOŻENIA OFERTY</w:t>
      </w:r>
      <w:r w:rsidRPr="00D7608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  <w:r w:rsidRPr="00D7608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w postępowaniu o udzielenie zamówienia na</w:t>
      </w:r>
      <w:r w:rsidRPr="00D7608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br/>
        <w:t>„</w:t>
      </w:r>
      <w:r w:rsidRPr="001035F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Roboty budowlano-konserwatorskie wieży kościoła parafialnego w Milejewie</w:t>
      </w:r>
      <w:r w:rsidRPr="00D7608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”</w:t>
      </w:r>
      <w:r w:rsidRPr="00D7608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br/>
        <w:t>Postępowanie NIE jest prowadzone na podstawie ustawy z dnia 11 września 2019 r. Prawo</w:t>
      </w:r>
      <w:r w:rsidRPr="001035F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:lang w:eastAsia="pl-PL"/>
          <w14:ligatures w14:val="none"/>
        </w:rPr>
        <w:t>zamówień publicznych (tj. Dz. U z 2022r., poz. 1710 ze zm.).</w:t>
      </w:r>
    </w:p>
    <w:p w14:paraId="1F9C84B4" w14:textId="77777777" w:rsidR="00D76082" w:rsidRPr="001035F2" w:rsidRDefault="00D76082" w:rsidP="00F064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D7DB8B9" w14:textId="77777777" w:rsidR="001035F2" w:rsidRPr="001035F2" w:rsidRDefault="001035F2" w:rsidP="00F064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08FED00" w14:textId="77777777" w:rsidR="001035F2" w:rsidRPr="001035F2" w:rsidRDefault="001035F2" w:rsidP="00F064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55F8BFA" w14:textId="77777777" w:rsidR="001035F2" w:rsidRPr="001035F2" w:rsidRDefault="001035F2" w:rsidP="00F064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3E1983B3" w14:textId="77777777" w:rsidR="001035F2" w:rsidRPr="001035F2" w:rsidRDefault="001035F2" w:rsidP="00F064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2FF2B7ED" w14:textId="77777777" w:rsidR="001035F2" w:rsidRDefault="001035F2" w:rsidP="00F064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5A09272A" w14:textId="77777777" w:rsidR="00123A26" w:rsidRPr="001035F2" w:rsidRDefault="00123A26" w:rsidP="00F064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08124E50" w14:textId="77777777" w:rsidR="001035F2" w:rsidRPr="001035F2" w:rsidRDefault="001035F2" w:rsidP="00F06476">
      <w:p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</w:p>
    <w:p w14:paraId="17E767CB" w14:textId="7434BCC2" w:rsidR="002E1ED9" w:rsidRPr="001035F2" w:rsidRDefault="00D76082" w:rsidP="00533041">
      <w:pPr>
        <w:spacing w:before="100" w:beforeAutospacing="1" w:after="100" w:afterAutospacing="1" w:line="276" w:lineRule="auto"/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Zatwierdził:</w:t>
      </w:r>
      <w:r w:rsidRPr="00D76082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br/>
      </w:r>
    </w:p>
    <w:p w14:paraId="53C5A908" w14:textId="77777777" w:rsidR="00123A26" w:rsidRDefault="00123A26" w:rsidP="00964607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F39471C" w14:textId="77777777" w:rsidR="00123A26" w:rsidRDefault="00123A26" w:rsidP="00964607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EB3C9BD" w14:textId="3CEC12BB" w:rsidR="007A6C62" w:rsidRDefault="00D76082" w:rsidP="00964607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br/>
        <w:t xml:space="preserve">I. </w:t>
      </w:r>
      <w:r w:rsidR="00693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ZAMAWIAJĄCY:</w:t>
      </w:r>
    </w:p>
    <w:p w14:paraId="12108D03" w14:textId="77777777" w:rsidR="00BE7398" w:rsidRDefault="002E1ED9" w:rsidP="00EA2F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685457">
        <w:rPr>
          <w:rFonts w:ascii="Times New Roman" w:hAnsi="Times New Roman"/>
          <w:sz w:val="24"/>
          <w:szCs w:val="24"/>
        </w:rPr>
        <w:t>arafi</w:t>
      </w:r>
      <w:r w:rsidR="00E2112E">
        <w:rPr>
          <w:rFonts w:ascii="Times New Roman" w:hAnsi="Times New Roman"/>
          <w:sz w:val="24"/>
          <w:szCs w:val="24"/>
        </w:rPr>
        <w:t>a rzymskokatolicka</w:t>
      </w:r>
      <w:r w:rsidRPr="00685457">
        <w:rPr>
          <w:rFonts w:ascii="Times New Roman" w:hAnsi="Times New Roman"/>
          <w:sz w:val="24"/>
          <w:szCs w:val="24"/>
        </w:rPr>
        <w:t xml:space="preserve"> p.w. Św. Stanisława Biskupa w Milejewie</w:t>
      </w:r>
      <w:r>
        <w:rPr>
          <w:rFonts w:ascii="Times New Roman" w:hAnsi="Times New Roman"/>
          <w:sz w:val="24"/>
          <w:szCs w:val="24"/>
        </w:rPr>
        <w:t xml:space="preserve">, </w:t>
      </w:r>
    </w:p>
    <w:p w14:paraId="7EE1159C" w14:textId="77777777" w:rsidR="00BE7398" w:rsidRDefault="00E2112E" w:rsidP="00EA2F23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ul. Kościelna 10, </w:t>
      </w:r>
    </w:p>
    <w:p w14:paraId="51A3B9C8" w14:textId="77777777" w:rsidR="00BE7398" w:rsidRDefault="00E2112E" w:rsidP="00EA2F2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hAnsi="Times New Roman"/>
          <w:sz w:val="24"/>
          <w:szCs w:val="24"/>
        </w:rPr>
        <w:t>82-316 Milejewo</w:t>
      </w:r>
      <w:r w:rsidR="002E1ED9"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5CFA555" w14:textId="111B1583" w:rsidR="007A6C62" w:rsidRDefault="00D76082" w:rsidP="00EA2F2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NIP: </w:t>
      </w:r>
      <w:r w:rsidR="00E21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5782778264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REGON: </w:t>
      </w:r>
      <w:r w:rsidR="00E211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170362961</w:t>
      </w:r>
    </w:p>
    <w:p w14:paraId="7A2C5182" w14:textId="40F951DA" w:rsidR="007A6C62" w:rsidRDefault="00D76082" w:rsidP="00EA2F2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e-mail:</w:t>
      </w:r>
      <w:r w:rsidR="007456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slawek410@vp.pl</w:t>
      </w:r>
    </w:p>
    <w:p w14:paraId="3A5E5E81" w14:textId="7BCCD787" w:rsidR="007922B7" w:rsidRDefault="00D76082" w:rsidP="006939A2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</w:t>
      </w:r>
      <w:r w:rsidR="002B5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upoważnion</w:t>
      </w:r>
      <w:r w:rsidR="002B5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ą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kontaktu z wykonawcami jest:</w:t>
      </w:r>
      <w:r w:rsidR="009441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B46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ks. Sławomir Nita, Proboszcz Parafii</w:t>
      </w:r>
      <w:r w:rsidR="009441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tel. </w:t>
      </w:r>
      <w:r w:rsidR="007456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667 671</w:t>
      </w:r>
      <w:r w:rsidR="00092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 </w:t>
      </w:r>
      <w:r w:rsidR="007456A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523</w:t>
      </w:r>
      <w:r w:rsidR="00092B9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="009441B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0DA73BAB" w14:textId="4266E9AB" w:rsidR="00FD0E28" w:rsidRDefault="00D76082" w:rsidP="00964607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Wszelkie spory związane z udzieleniem zamówienia rozstrzyga Zamawiający.</w:t>
      </w:r>
    </w:p>
    <w:p w14:paraId="3E3092EF" w14:textId="77777777" w:rsidR="00FD0E28" w:rsidRDefault="00D76082" w:rsidP="00964607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Koszty związane z udziałem w prowadzonej procedurze pokrywa Wykonawca ubiegający się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o uzyskanie zamówienia bez względu na wynik prowadzonej procedury.</w:t>
      </w:r>
    </w:p>
    <w:p w14:paraId="7A40AC97" w14:textId="6881AB5F" w:rsidR="007A6C62" w:rsidRDefault="00D76082" w:rsidP="00964607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możliwość unieważnienia postępowania z powodów wskazanych</w:t>
      </w:r>
      <w:r w:rsidR="00370E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decyzji o unieważnieniu prowadzonej procedury. Z tytułu unieważnienia procedury</w:t>
      </w:r>
      <w:r w:rsidR="00370E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wykonawcy nie przysługują żadne roszczenia wobec Zamawiającego.</w:t>
      </w:r>
    </w:p>
    <w:p w14:paraId="5499DE7D" w14:textId="479774B6" w:rsidR="007A6C62" w:rsidRDefault="00D76082" w:rsidP="0069284E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II. </w:t>
      </w:r>
      <w:r w:rsidR="00693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PRZEDMIOTU ZAMÓWIENIA</w:t>
      </w:r>
    </w:p>
    <w:p w14:paraId="365202F2" w14:textId="77777777" w:rsidR="007A6C62" w:rsidRDefault="00D76082" w:rsidP="0069284E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Cel udzielanego zamówienia</w:t>
      </w:r>
    </w:p>
    <w:p w14:paraId="5257E747" w14:textId="59C9326D" w:rsidR="007A6C62" w:rsidRDefault="00D76082" w:rsidP="0069284E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Celem udzieleni</w:t>
      </w:r>
      <w:r w:rsidR="00370E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zamówienia jest wybór </w:t>
      </w:r>
      <w:r w:rsidR="00370E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Wykonawcy </w:t>
      </w:r>
      <w:r w:rsidR="00370EA8" w:rsidRPr="00F610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robót budowlano-konserwatorskich wieży kościoła parafialnego w Mil</w:t>
      </w:r>
      <w:r w:rsidR="00C8269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</w:t>
      </w:r>
      <w:r w:rsidR="00370EA8" w:rsidRPr="00F610A9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jewie.</w:t>
      </w:r>
      <w:r w:rsidR="00370E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1E8DEF8E" w14:textId="13143DB5" w:rsidR="00FA397C" w:rsidRDefault="00FA397C" w:rsidP="0069284E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Przedmiotowe zadanie jest kontynuacją wykonanych robót budowlanych dachu korpusu głównego kościoła.</w:t>
      </w:r>
    </w:p>
    <w:p w14:paraId="27B80503" w14:textId="77777777" w:rsidR="008843DF" w:rsidRDefault="00D76082" w:rsidP="0069284E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Ze względu</w:t>
      </w:r>
      <w:r w:rsidR="00370EA8" w:rsidRPr="007A6C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</w:t>
      </w:r>
      <w:r w:rsidR="00370EA8" w:rsidRPr="007A6C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wpis do rejestru zabytków kościoła w Milejewie </w:t>
      </w:r>
      <w:r w:rsidR="007A6C62" w:rsidRPr="007A6C6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(decyzja </w:t>
      </w:r>
      <w:r w:rsidR="007A6C62" w:rsidRPr="007A6C62">
        <w:rPr>
          <w:rFonts w:ascii="Times New Roman" w:hAnsi="Times New Roman" w:cs="Times New Roman"/>
          <w:sz w:val="24"/>
          <w:szCs w:val="24"/>
        </w:rPr>
        <w:t xml:space="preserve">A-557 - wpis z dn. 29.11.1961r.)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wymagane jest wykonanie przedmiotu zapytania w sposób profesjonalny</w:t>
      </w:r>
      <w:r w:rsidR="00370E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zgodnie z warunkami prac przy obiektach zabytkowych określonych w</w:t>
      </w:r>
      <w:r w:rsidR="00783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E3E75" w:rsidRPr="00B04F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U</w:t>
      </w:r>
      <w:r w:rsidR="00783D9D" w:rsidRPr="00B04F2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stawie z dnia 23 lipca 2003 r. o ochronie zabytków i opiece nad zabytkami</w:t>
      </w:r>
      <w:r w:rsidR="00783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E3E7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(t.j. Dz. U. z 2022, poz. 840 ze zm.) oraz</w:t>
      </w:r>
      <w:r w:rsidR="00783D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496F9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="00370E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FE5506" w:rsidRPr="008617E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Rozporządzeniu Ministra Kultury i Dziedzictwa Narodowego z dnia 2 sierpnia 2018 r. w sprawie prowadzenia</w:t>
      </w:r>
      <w:r w:rsidR="008617E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 xml:space="preserve"> </w:t>
      </w:r>
      <w:r w:rsidR="00FE5506" w:rsidRPr="008617E6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prac konserwatorskich, prac restauratorskich i badań konserwatorskich przy zabytku wpisanym do rejestru zabytków albo na Listę Skarbów Dziedzictwa oraz robót budowlanych, badań architektonicznych i innych działań przy zabytku wpisanym do rejestru zabytków, a także badań archeologicznych i poszukiwań zabytków</w:t>
      </w:r>
      <w:r w:rsidR="00D515E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(Dz. U. z 2021, poz. 81). </w:t>
      </w:r>
    </w:p>
    <w:p w14:paraId="169358AC" w14:textId="59A514A3" w:rsidR="00A73920" w:rsidRDefault="00D76082" w:rsidP="0069284E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Zakres prac do wykonania przez wykonawcę zamówienia</w:t>
      </w:r>
    </w:p>
    <w:p w14:paraId="686822BE" w14:textId="01B02B60" w:rsidR="008B15A8" w:rsidRDefault="00D76082" w:rsidP="0069284E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Zamawiający zamawia, a Wykonawca zobowiązuje się do </w:t>
      </w:r>
      <w:r w:rsidR="00A739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wykonania </w:t>
      </w:r>
      <w:r w:rsidR="00A73920" w:rsidRPr="00C8269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>Robót budowlano-konserwatorskich wieży kościoła parafialnego w Milejewie</w:t>
      </w:r>
      <w:r w:rsidR="00A7392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zakresie określonym</w:t>
      </w:r>
      <w:r w:rsidR="006939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8B15A8" w:rsidRPr="00C826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Projekcie budowlanym – Projekt architektoniczno-konstrukcyjny remontu pokrycia dachu, więźby i ścian sterczyn ponad dachem budynku kościoła parafialnego p.w. Św. Stanisława Biskupa i Męczennika zlokalizowanego w Milejewie, 82-316 Mil</w:t>
      </w:r>
      <w:r w:rsidR="00C8269E" w:rsidRPr="00C826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e</w:t>
      </w:r>
      <w:r w:rsidR="008B15A8" w:rsidRPr="00C8269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pl-PL"/>
          <w14:ligatures w14:val="none"/>
        </w:rPr>
        <w:t>jewo, ul. Kościelna 10, dz. 95. Kategoria budynku X</w:t>
      </w:r>
      <w:r w:rsidR="008B15A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opracowanym przez inż. Mirosława Ożubko (projektant główny) i mgr inż. Janinę Wrzesińską (instalacja odgromowa).  </w:t>
      </w:r>
    </w:p>
    <w:p w14:paraId="6703041D" w14:textId="6FAFC466" w:rsidR="002B5D8C" w:rsidRDefault="00C8269E" w:rsidP="0069284E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Przedmiotowa dokumentacja</w:t>
      </w:r>
      <w:r w:rsidR="002B5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stanowiąca Załącznik nr 1 do niniejszego Zapytania,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jest dostępna w </w:t>
      </w:r>
      <w:r w:rsidR="002B5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ancelarii </w:t>
      </w:r>
      <w:r w:rsidR="002B5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arafialnej Zamawiającego</w:t>
      </w:r>
      <w:r w:rsidR="002B5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pod adresem 82-316 Milejewo, </w:t>
      </w:r>
      <w:r w:rsidR="002B5D8C">
        <w:rPr>
          <w:rFonts w:ascii="Times New Roman" w:hAnsi="Times New Roman"/>
          <w:sz w:val="24"/>
          <w:szCs w:val="24"/>
        </w:rPr>
        <w:t>ul. Kościelna 10</w:t>
      </w:r>
      <w:r w:rsidR="006939A2">
        <w:rPr>
          <w:rFonts w:ascii="Times New Roman" w:hAnsi="Times New Roman"/>
          <w:sz w:val="24"/>
          <w:szCs w:val="24"/>
        </w:rPr>
        <w:t xml:space="preserve">, w godzinach </w:t>
      </w:r>
      <w:r w:rsidR="00156AA4">
        <w:rPr>
          <w:rFonts w:ascii="Times New Roman" w:hAnsi="Times New Roman"/>
          <w:sz w:val="24"/>
          <w:szCs w:val="24"/>
        </w:rPr>
        <w:t xml:space="preserve">uzgodnionych z </w:t>
      </w:r>
      <w:r w:rsidR="00053A10">
        <w:rPr>
          <w:rFonts w:ascii="Times New Roman" w:hAnsi="Times New Roman"/>
          <w:sz w:val="24"/>
          <w:szCs w:val="24"/>
        </w:rPr>
        <w:t xml:space="preserve">Administratorem Parafii, kontakt telefoniczny </w:t>
      </w:r>
      <w:r w:rsidR="00053A1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667 671 523</w:t>
      </w:r>
    </w:p>
    <w:p w14:paraId="28EEE320" w14:textId="77777777" w:rsidR="00C8269E" w:rsidRDefault="00D76082" w:rsidP="008843DF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III. TERMIN REALIZACJI ZAMÓWIENIA</w:t>
      </w:r>
    </w:p>
    <w:p w14:paraId="49073EB4" w14:textId="0A765473" w:rsidR="00C8269E" w:rsidRDefault="00725230" w:rsidP="008843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dnia </w:t>
      </w:r>
      <w:r w:rsidR="007714C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01 grudnia</w:t>
      </w:r>
      <w:r w:rsidR="003818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2023 roku  </w:t>
      </w:r>
    </w:p>
    <w:p w14:paraId="243DA914" w14:textId="6190FE13" w:rsidR="00D76082" w:rsidRPr="00D76082" w:rsidRDefault="00D76082" w:rsidP="008843DF">
      <w:p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IV. ZASADY UCZESTNICTWA W POSTĘPOWANIU</w:t>
      </w:r>
    </w:p>
    <w:p w14:paraId="4B3270F6" w14:textId="1B2AA8E0" w:rsidR="00B532AD" w:rsidRDefault="00D76082" w:rsidP="00E85542">
      <w:pPr>
        <w:numPr>
          <w:ilvl w:val="0"/>
          <w:numId w:val="1"/>
        </w:numPr>
        <w:tabs>
          <w:tab w:val="clear" w:pos="720"/>
          <w:tab w:val="num" w:pos="567"/>
        </w:tabs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Wykonawców zainteresowanych realizacją przedmiotowego zamówienia </w:t>
      </w:r>
      <w:r w:rsidR="002B5D8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zapraszamy do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złożenie</w:t>
      </w:r>
      <w:r w:rsidR="0072523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w terminie 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wskazanym w pkt. V.</w:t>
      </w:r>
    </w:p>
    <w:p w14:paraId="16887004" w14:textId="702D4975" w:rsidR="00301914" w:rsidRDefault="00D76082" w:rsidP="00E85542">
      <w:pPr>
        <w:numPr>
          <w:ilvl w:val="0"/>
          <w:numId w:val="1"/>
        </w:numPr>
        <w:tabs>
          <w:tab w:val="clear" w:pos="720"/>
          <w:tab w:val="num" w:pos="567"/>
        </w:tabs>
        <w:spacing w:after="120" w:line="276" w:lineRule="auto"/>
        <w:ind w:left="567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Wykonawca składa ofertę w formie</w:t>
      </w:r>
      <w:r w:rsidR="00BB46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156AA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papierowej </w:t>
      </w:r>
    </w:p>
    <w:p w14:paraId="7315674D" w14:textId="77777777" w:rsidR="00A44677" w:rsidRDefault="00D76082" w:rsidP="00301914">
      <w:pPr>
        <w:spacing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A446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Ofertę należy przesłać </w:t>
      </w:r>
      <w:r w:rsidR="00053A10" w:rsidRPr="00A446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drogą pocztową lub złożyć osobiście w </w:t>
      </w:r>
      <w:r w:rsidR="00A44677" w:rsidRPr="00A446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Kancelarii Parafialnej </w:t>
      </w:r>
      <w:r w:rsidR="00A446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Zamawiającego pod adresem 82-316 Milejewo, </w:t>
      </w:r>
      <w:r w:rsidR="00A44677">
        <w:rPr>
          <w:rFonts w:ascii="Times New Roman" w:hAnsi="Times New Roman"/>
          <w:sz w:val="24"/>
          <w:szCs w:val="24"/>
        </w:rPr>
        <w:t>ul. Kościelna 10</w:t>
      </w:r>
    </w:p>
    <w:p w14:paraId="48E2871B" w14:textId="77777777" w:rsidR="00301914" w:rsidRDefault="00D76082" w:rsidP="00301914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Oferta oraz załączane dokumenty muszą być podpisane przez osobę upoważnioną do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reprezentowania Wykonawcy, zgodnie z formą reprezentacji Wykonawcy określoną w rejestrze</w:t>
      </w:r>
      <w:r w:rsidR="006128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innym dokumencie, właściwym dla danej formy organizacyjnej Wykonawcy albo przez</w:t>
      </w:r>
      <w:r w:rsidR="006128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upełnomocnionego przedstawiciela Wykonawcy – w takim przypadku dokument potwierdzający</w:t>
      </w:r>
      <w:r w:rsidR="006128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udzielenie pełnomocnictwa należy załączyć od składanej oferty. W przypadku kopii dokumentów</w:t>
      </w:r>
      <w:r w:rsidR="006128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muszą być one również potwierdzone elektronicznie.</w:t>
      </w:r>
    </w:p>
    <w:p w14:paraId="6C8C20A8" w14:textId="02A9114A" w:rsidR="00D76082" w:rsidRPr="00D76082" w:rsidRDefault="00D76082" w:rsidP="00301914">
      <w:pPr>
        <w:spacing w:after="120" w:line="276" w:lineRule="auto"/>
        <w:ind w:left="56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Oferta oraz załączone do oferty dokumenty powinny być sporządzone w języku polskim, w </w:t>
      </w:r>
      <w:r w:rsidRPr="00561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formie</w:t>
      </w:r>
      <w:r w:rsidR="0061285F" w:rsidRPr="00561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619C6" w:rsidRPr="00561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papierowej, </w:t>
      </w:r>
      <w:r w:rsidRPr="005619C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opatrzonej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podpisem osobistym. W przypadku</w:t>
      </w:r>
      <w:r w:rsidR="006128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zastosowania innego formatu Zamawiający może nie mieć możliwości zapoznania się z treścią</w:t>
      </w:r>
      <w:r w:rsidR="0061285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złożonych dokumentów, co może spowodować odrzucenie oferty.</w:t>
      </w:r>
    </w:p>
    <w:p w14:paraId="024B9428" w14:textId="77777777" w:rsidR="00301914" w:rsidRDefault="00D76082" w:rsidP="00E85542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Przesłana oferta powinna zawierać co najmniej:</w:t>
      </w:r>
    </w:p>
    <w:p w14:paraId="3E32CE4F" w14:textId="77777777" w:rsidR="004D38C9" w:rsidRDefault="00D76082" w:rsidP="00301914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 wypełniony formularz oferty</w:t>
      </w:r>
      <w:r w:rsidR="004D38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zawierający wszystkie elementy, niezbędne dla określenia przedmiotu i podmiotu realizacji zadania</w:t>
      </w:r>
    </w:p>
    <w:p w14:paraId="5CDAD58F" w14:textId="77777777" w:rsidR="004D38C9" w:rsidRPr="00BB46CD" w:rsidRDefault="00301914" w:rsidP="00301914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B46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</w:t>
      </w:r>
      <w:r w:rsidR="00D76082" w:rsidRPr="00BB46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kosztorys – z rozbiciem na poszczególne działania określone w Załączniku nr 1 do niniejszego</w:t>
      </w:r>
      <w:r w:rsidR="0061285F" w:rsidRPr="00BB46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D76082" w:rsidRPr="00BB46C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Zapytania</w:t>
      </w:r>
    </w:p>
    <w:p w14:paraId="031089BA" w14:textId="6C0BA2A1" w:rsidR="00020E7B" w:rsidRDefault="00301914" w:rsidP="00301914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</w:t>
      </w:r>
      <w:r w:rsidR="00D76082"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) </w:t>
      </w:r>
      <w:r w:rsidR="00020E7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doświadczenia Wykonawcy w zakresie realizacji prac zgodnych z przedmiotem zamówienia:</w:t>
      </w:r>
    </w:p>
    <w:p w14:paraId="201A94BC" w14:textId="77777777" w:rsidR="00697A9D" w:rsidRPr="00697A9D" w:rsidRDefault="00697A9D" w:rsidP="00697A9D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97A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Określenie warunku:</w:t>
      </w:r>
    </w:p>
    <w:p w14:paraId="44738639" w14:textId="6C9559F6" w:rsidR="00020E7B" w:rsidRDefault="003F13FB" w:rsidP="00EC6CD7">
      <w:pPr>
        <w:pStyle w:val="Akapitzlist"/>
        <w:numPr>
          <w:ilvl w:val="0"/>
          <w:numId w:val="15"/>
        </w:numPr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</w:t>
      </w:r>
      <w:r w:rsidR="00697A9D" w:rsidRPr="00EC6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oświadczenie</w:t>
      </w:r>
      <w:r w:rsidR="00EC6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Wykonawcy</w:t>
      </w:r>
      <w:r w:rsidR="00697A9D" w:rsidRPr="00EC6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 Zamawiający uzna że Wykonawca posiada doświadczenie niezbędne do realizacji zamówienia jeśli wykaże, że w okresie ostatnich 5 lat przed upływem terminu składania ofert, a jeżeli okres prowadzenia działalności jest krótszy – w tym okresie, wykonał należycie w obiekcie wpisanym do rejestru zabytków co najmniej dwie roboty budowlan</w:t>
      </w:r>
      <w:r w:rsidR="00046620" w:rsidRPr="00EC6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o-konserwatorskie</w:t>
      </w:r>
      <w:r w:rsidR="00697A9D" w:rsidRPr="00EC6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, w tym jedną polegającą na </w:t>
      </w:r>
      <w:r w:rsidR="00046620" w:rsidRPr="00EC6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remoncie więźby dachowej i </w:t>
      </w:r>
      <w:r w:rsidR="00697A9D" w:rsidRPr="00EC6CD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wymianie ceramicznego pokrycia dachowego o wartości nie mniejszej niż 200.000,00 zł brutto (słownie: dwieście tysięcy złotych).</w:t>
      </w:r>
    </w:p>
    <w:p w14:paraId="11344381" w14:textId="3C80578B" w:rsidR="00026CC9" w:rsidRPr="0095572E" w:rsidRDefault="003F13FB" w:rsidP="0095572E">
      <w:pPr>
        <w:pStyle w:val="Akapitzlist"/>
        <w:numPr>
          <w:ilvl w:val="0"/>
          <w:numId w:val="15"/>
        </w:numPr>
        <w:spacing w:after="120" w:line="276" w:lineRule="auto"/>
        <w:ind w:left="993" w:hanging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zasoby kadrowe Wykonawcy: </w:t>
      </w:r>
      <w:r w:rsidR="0095572E" w:rsidRP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wymaga aby Wykonawca, w celu spełnienia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572E" w:rsidRP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ww. warunku wykazał, że dysponuje lub będzie dysponował osobami, które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95572E" w:rsidRP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zamierza </w:t>
      </w:r>
      <w:r w:rsidR="0095572E" w:rsidRP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skierować do realizacji niniejszego zamówienia publicznego tj.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026CC9" w:rsidRPr="009557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kierownika budowy</w:t>
      </w:r>
      <w:r w:rsidR="00026CC9" w:rsidRP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, koordynującego całokształt robót na budowie, posiadającego:</w:t>
      </w:r>
    </w:p>
    <w:p w14:paraId="6AB0FA17" w14:textId="3F5B0901" w:rsidR="00026CC9" w:rsidRPr="00026CC9" w:rsidRDefault="00026CC9" w:rsidP="009C7088">
      <w:pPr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a. uprawnienia budowlane w specjalności konstrukcyjno-budowlanej do kierowania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robotami budowlanymi bez ograniczeń lub inne odpowiadające im uprawnienia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budowlane, które zostały wydane na podstawie wcześniej obowiązujących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przepisów lub odpowiadające im uprawnienia wydane obywatelom państw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Europejskiego Obszaru Gospodarczego oraz Konfederacji Szwajcarskiej;</w:t>
      </w:r>
    </w:p>
    <w:p w14:paraId="48ACFD48" w14:textId="57E439DE" w:rsidR="00026CC9" w:rsidRDefault="00026CC9" w:rsidP="009C7088">
      <w:pPr>
        <w:spacing w:after="120" w:line="276" w:lineRule="auto"/>
        <w:ind w:left="113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b. uprawnienia do kierowania robotami budowlanymi w obiektach zabytkowych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określone w art. 37c, ustawy z dnia 23 lipca 2003 r. o ochronie zabytków i opiece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nad zabytkami (t</w:t>
      </w:r>
      <w:r w:rsidR="00CC4F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j</w:t>
      </w:r>
      <w:r w:rsidR="00CC4F3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Dz. U. z 202</w:t>
      </w:r>
      <w:r w:rsidR="009D1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poz. </w:t>
      </w:r>
      <w:r w:rsidR="009D1E1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840 ze zm.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), tj. posiada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uprawnienia zawodowe określone przepisami Prawa budowlanego, oraz która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przez co najmniej 18 miesięcy brała udział w robotach budowlanych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prowadzonych przy zabytkach nieruchomych wpisanych do rejestru lub inwentarza</w:t>
      </w:r>
      <w:r w:rsidR="0095572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26CC9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muzeum będącego instytucją kultury.</w:t>
      </w:r>
    </w:p>
    <w:p w14:paraId="46951CB8" w14:textId="77777777" w:rsidR="00301914" w:rsidRDefault="00D76082" w:rsidP="00E85542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Zamawiający zastrzega sobie prawo do przeprowadzenia z wykonawcami, którzy złożą oferty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negocjacji dotyczących ostatecznego ustalenia warunków realizacji zamówienia. W takim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przypadku termin negocjacji zostanie wyznaczony z co najmniej 1 dniowym wyprzedzeniem.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Negocjacje będą prowadzone w formie zdalnej tj. przy wykorzystaniu platformy do komunikacji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telefonicznie. Negocjacje będą obejmowały warunki umowy, a w szczególności:</w:t>
      </w:r>
      <w:r w:rsidR="003019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Przedmiot umowy oraz sposób i zakres jego realizacji,</w:t>
      </w:r>
    </w:p>
    <w:p w14:paraId="2CD7B01E" w14:textId="10A3E5EC" w:rsidR="00D76082" w:rsidRPr="00D76082" w:rsidRDefault="00D76082" w:rsidP="00301914">
      <w:pPr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Wszystkie koszty związane z uczestnictwem w postępowaniu, ponosi Wykonawca bez względu na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rozstrzygnięcia postępowania przez Zamawiającego. Zamawiający nie przewiduje zwrotu</w:t>
      </w:r>
      <w:r w:rsidR="0030191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kosztów udziału w postępowaniu. Zamawiający ma prawo unieważnienia prowadzonej procedury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każdym jej etapie.</w:t>
      </w:r>
    </w:p>
    <w:p w14:paraId="67C16947" w14:textId="170E5AC0" w:rsidR="00496F9E" w:rsidRDefault="00D76082" w:rsidP="00E85542">
      <w:pPr>
        <w:numPr>
          <w:ilvl w:val="0"/>
          <w:numId w:val="1"/>
        </w:numPr>
        <w:spacing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postępowania o udzielenie zamówienia wyklucza się Wykonawców, w stosunku do których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zachodzi którakolwiek z okoliczności wskazanych w art. 7 ust. 1 ustawy z dnia 15 kwietnia 2022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r. o szczególnych rozwiązaniach w zakresie przeciwdziałania wspieraniu agresji na Ukrainę oraz</w:t>
      </w:r>
      <w:r w:rsidR="000624DA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służących ochronie bezpieczeństwa narodowego (Dz.U. z 2022 poz. 835).</w:t>
      </w:r>
    </w:p>
    <w:p w14:paraId="0AD397A7" w14:textId="77777777" w:rsidR="00301914" w:rsidRDefault="00301914" w:rsidP="008843DF">
      <w:pPr>
        <w:spacing w:after="120" w:line="276" w:lineRule="auto"/>
        <w:ind w:left="357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41C3887" w14:textId="77777777" w:rsidR="003A4885" w:rsidRDefault="00D76082" w:rsidP="00301914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V. TERMIN PRZESŁANIA OFERTY</w:t>
      </w:r>
    </w:p>
    <w:p w14:paraId="7BAA20CB" w14:textId="727D8A9B" w:rsidR="003A4885" w:rsidRDefault="00D76082" w:rsidP="00E45B40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Prosimy o </w:t>
      </w:r>
      <w:r w:rsidR="00E45B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złożenie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oferty </w:t>
      </w:r>
      <w:r w:rsidR="00E45B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E45B40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Kancelarii Parafialnej Zamawiającego pod adresem 82-316 Milejewo, </w:t>
      </w:r>
      <w:r w:rsidR="00E45B40">
        <w:rPr>
          <w:rFonts w:ascii="Times New Roman" w:hAnsi="Times New Roman"/>
          <w:sz w:val="24"/>
          <w:szCs w:val="24"/>
        </w:rPr>
        <w:t>ul. Kościelna 10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w</w:t>
      </w:r>
      <w:r w:rsidR="0038187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terminie do </w:t>
      </w:r>
      <w:r w:rsidR="001C5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</w:t>
      </w:r>
      <w:r w:rsidR="00AC31F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</w:t>
      </w:r>
      <w:r w:rsidR="001C56E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października 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2023 r. do godz. 10.00.</w:t>
      </w:r>
    </w:p>
    <w:p w14:paraId="0C0E3F50" w14:textId="48B9031B" w:rsidR="00496F9E" w:rsidRDefault="00496F9E" w:rsidP="00301914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CC6670" w14:textId="77777777" w:rsidR="003A4885" w:rsidRDefault="00D76082" w:rsidP="00301914">
      <w:pPr>
        <w:spacing w:after="12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VI. ZASADY WYBORU NAJKORZYSTNIEJSZEJ OFERTY.</w:t>
      </w:r>
    </w:p>
    <w:p w14:paraId="0F1A7988" w14:textId="77777777" w:rsidR="003A4885" w:rsidRPr="004A6E27" w:rsidRDefault="00D76082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Oceny ofert dokona powołana przez zamawiającego Komisja. O wynikach pracy Komisji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Zamawiający poinformuje wszystkich wykonawców, którzy wezmą udział w prowadzonym</w:t>
      </w:r>
      <w:r w:rsidRPr="00D760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postępowaniu o udzielenie zamówienia.</w:t>
      </w:r>
    </w:p>
    <w:p w14:paraId="11C822BD" w14:textId="3EB5ACE0" w:rsidR="00B45C52" w:rsidRPr="004A6E27" w:rsidRDefault="00B45C52" w:rsidP="004A6E27">
      <w:pPr>
        <w:pStyle w:val="Akapitzlist"/>
        <w:spacing w:after="0" w:line="276" w:lineRule="auto"/>
        <w:ind w:left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6E27">
        <w:rPr>
          <w:rFonts w:ascii="Times New Roman" w:hAnsi="Times New Roman" w:cs="Times New Roman"/>
          <w:sz w:val="24"/>
          <w:szCs w:val="24"/>
        </w:rPr>
        <w:t>Przy wyborze Wykonawcy Zamawiający będzie się kierował następującymi kryteriami oceny ofert:</w:t>
      </w:r>
    </w:p>
    <w:p w14:paraId="45E95738" w14:textId="77777777" w:rsidR="00B45C52" w:rsidRPr="004A6E27" w:rsidRDefault="00B45C52" w:rsidP="004A6E27">
      <w:pPr>
        <w:pStyle w:val="Akapitzlist"/>
        <w:numPr>
          <w:ilvl w:val="0"/>
          <w:numId w:val="12"/>
        </w:numPr>
        <w:spacing w:after="0" w:line="276" w:lineRule="auto"/>
        <w:ind w:left="924" w:hanging="476"/>
        <w:contextualSpacing w:val="0"/>
        <w:rPr>
          <w:rFonts w:ascii="Times New Roman" w:hAnsi="Times New Roman" w:cs="Times New Roman"/>
          <w:sz w:val="24"/>
          <w:szCs w:val="24"/>
        </w:rPr>
      </w:pPr>
      <w:r w:rsidRPr="004A6E27">
        <w:rPr>
          <w:rFonts w:ascii="Times New Roman" w:hAnsi="Times New Roman" w:cs="Times New Roman"/>
          <w:b/>
          <w:sz w:val="24"/>
          <w:szCs w:val="24"/>
        </w:rPr>
        <w:t>Cena (C)</w:t>
      </w:r>
      <w:r w:rsidRPr="004A6E27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37574167"/>
      <w:r w:rsidRPr="004A6E27">
        <w:rPr>
          <w:rFonts w:ascii="Times New Roman" w:hAnsi="Times New Roman" w:cs="Times New Roman"/>
          <w:sz w:val="24"/>
          <w:szCs w:val="24"/>
        </w:rPr>
        <w:t>– waga kryterium 60 %;</w:t>
      </w:r>
      <w:bookmarkEnd w:id="0"/>
    </w:p>
    <w:p w14:paraId="23C3DFC7" w14:textId="7EEA54AE" w:rsidR="00B45C52" w:rsidRPr="004A6E27" w:rsidRDefault="006C0468" w:rsidP="004A6E27">
      <w:pPr>
        <w:pStyle w:val="Akapitzlist"/>
        <w:numPr>
          <w:ilvl w:val="0"/>
          <w:numId w:val="12"/>
        </w:numPr>
        <w:spacing w:after="0" w:line="276" w:lineRule="auto"/>
        <w:ind w:left="924" w:hanging="476"/>
        <w:contextualSpacing w:val="0"/>
        <w:rPr>
          <w:rFonts w:ascii="Times New Roman" w:hAnsi="Times New Roman" w:cs="Times New Roman"/>
          <w:sz w:val="24"/>
          <w:szCs w:val="24"/>
        </w:rPr>
      </w:pPr>
      <w:r w:rsidRPr="004A6E27">
        <w:rPr>
          <w:rFonts w:ascii="Times New Roman" w:hAnsi="Times New Roman" w:cs="Times New Roman"/>
          <w:b/>
          <w:bCs/>
          <w:sz w:val="24"/>
          <w:szCs w:val="24"/>
        </w:rPr>
        <w:t xml:space="preserve">Okres gwarancji jakości </w:t>
      </w:r>
      <w:r w:rsidR="00B45C52" w:rsidRPr="004A6E27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4A6E27"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="00B45C52" w:rsidRPr="004A6E27">
        <w:rPr>
          <w:rFonts w:ascii="Times New Roman" w:hAnsi="Times New Roman" w:cs="Times New Roman"/>
          <w:sz w:val="24"/>
          <w:szCs w:val="24"/>
        </w:rPr>
        <w:t>)</w:t>
      </w:r>
      <w:r w:rsidRPr="004A6E27">
        <w:rPr>
          <w:rFonts w:ascii="Times New Roman" w:hAnsi="Times New Roman" w:cs="Times New Roman"/>
          <w:sz w:val="24"/>
          <w:szCs w:val="24"/>
        </w:rPr>
        <w:t xml:space="preserve"> </w:t>
      </w:r>
      <w:r w:rsidR="00B45C52" w:rsidRPr="004A6E27">
        <w:rPr>
          <w:rFonts w:ascii="Times New Roman" w:hAnsi="Times New Roman" w:cs="Times New Roman"/>
          <w:sz w:val="24"/>
          <w:szCs w:val="24"/>
        </w:rPr>
        <w:t xml:space="preserve">– waga kryterium </w:t>
      </w:r>
      <w:r w:rsidRPr="004A6E27">
        <w:rPr>
          <w:rFonts w:ascii="Times New Roman" w:hAnsi="Times New Roman" w:cs="Times New Roman"/>
          <w:sz w:val="24"/>
          <w:szCs w:val="24"/>
        </w:rPr>
        <w:t>4</w:t>
      </w:r>
      <w:r w:rsidR="00B45C52" w:rsidRPr="004A6E27">
        <w:rPr>
          <w:rFonts w:ascii="Times New Roman" w:hAnsi="Times New Roman" w:cs="Times New Roman"/>
          <w:sz w:val="24"/>
          <w:szCs w:val="24"/>
        </w:rPr>
        <w:t>0 %;</w:t>
      </w:r>
    </w:p>
    <w:p w14:paraId="45428AD9" w14:textId="77777777" w:rsidR="00B45C52" w:rsidRPr="004A6E27" w:rsidRDefault="00B45C52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F4F8FB1" w14:textId="42EF117D" w:rsidR="00CB424C" w:rsidRPr="004A6E27" w:rsidRDefault="00CB424C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 xml:space="preserve">1) 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kryterium nr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1 - </w:t>
      </w:r>
      <w:r w:rsidRPr="00A37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A371D3" w:rsidRPr="00A37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ena</w:t>
      </w:r>
      <w:r w:rsidRPr="00A37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 </w:t>
      </w:r>
      <w:r w:rsidR="00A371D3" w:rsidRPr="00A37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(</w:t>
      </w:r>
      <w:r w:rsidRPr="00A37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</w:t>
      </w:r>
      <w:r w:rsidR="00A371D3" w:rsidRPr="00A37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)</w:t>
      </w:r>
    </w:p>
    <w:p w14:paraId="7134DA12" w14:textId="69397A99" w:rsidR="00CB424C" w:rsidRDefault="00CB424C" w:rsidP="00A371D3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ilość punktów w kryterium </w:t>
      </w:r>
      <w:r w:rsidRPr="00497C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Cena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zostanie obliczona na podstawie poniższego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wzoru:</w:t>
      </w:r>
    </w:p>
    <w:p w14:paraId="5C00FD13" w14:textId="77777777" w:rsidR="00A371D3" w:rsidRPr="00A371D3" w:rsidRDefault="00A371D3" w:rsidP="00A371D3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39ED216" w14:textId="5B88D720" w:rsidR="00CB424C" w:rsidRPr="004A6E27" w:rsidRDefault="00A371D3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</w:t>
      </w:r>
      <w:r w:rsidR="00CB424C"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najniższa oferowana cena</w:t>
      </w:r>
    </w:p>
    <w:p w14:paraId="4EEE5F0C" w14:textId="15BB6BA9" w:rsidR="00CB424C" w:rsidRPr="004A6E27" w:rsidRDefault="00A371D3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</w:t>
      </w:r>
      <w:r w:rsidR="00CB424C"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 = ---------------------------------------------- x 100 x 60%</w:t>
      </w:r>
    </w:p>
    <w:p w14:paraId="29C12D05" w14:textId="3895A7B5" w:rsidR="00CB424C" w:rsidRPr="004A6E27" w:rsidRDefault="00A371D3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</w:t>
      </w:r>
      <w:r w:rsidR="00CB424C"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cena oferty badanej</w:t>
      </w:r>
    </w:p>
    <w:p w14:paraId="6D35CFEC" w14:textId="77777777" w:rsidR="00CB424C" w:rsidRPr="00A371D3" w:rsidRDefault="00CB424C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105FDBF1" w14:textId="63C5FC06" w:rsidR="00CB424C" w:rsidRPr="004A6E27" w:rsidRDefault="00CB424C" w:rsidP="00A371D3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kryterium Cena, oferta z najniższą ceną otrzyma 60 punktów a pozostałe oferty po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matematycznym przeliczeniu w odniesieniu do najniższej ceny odpowiednio mniej.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Końcowy wynik powyższego działania zostanie zaokrąglony do dwóch miejsc po przecinku.</w:t>
      </w:r>
    </w:p>
    <w:p w14:paraId="0EB81195" w14:textId="77777777" w:rsidR="00CB424C" w:rsidRPr="004A6E27" w:rsidRDefault="00CB424C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8855E3A" w14:textId="20465B92" w:rsidR="00CB424C" w:rsidRPr="004A6E27" w:rsidRDefault="00CB424C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2) 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kryterium nr 2 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– </w:t>
      </w:r>
      <w:r w:rsidR="00A371D3" w:rsidRPr="00A371D3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gwarancji jakości (G)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</w:t>
      </w:r>
    </w:p>
    <w:p w14:paraId="30112FFF" w14:textId="07536DE5" w:rsidR="00CB424C" w:rsidRPr="004A6E27" w:rsidRDefault="00CB424C" w:rsidP="00A371D3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ilość punktów w kryterium Okres gwarancji jakości zostanie przyznana w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sposób opisany poniżej.</w:t>
      </w:r>
    </w:p>
    <w:p w14:paraId="0C26548F" w14:textId="1DFF965D" w:rsidR="00CB424C" w:rsidRDefault="00CB424C" w:rsidP="00A371D3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Minimalny wymagany okres gwarancji jakości to 60 miesięcy od daty odbioru końcowego</w:t>
      </w:r>
      <w:r w:rsidR="00A371D3"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bez zastrzeżeń.</w:t>
      </w:r>
    </w:p>
    <w:p w14:paraId="0C90153A" w14:textId="69F438E9" w:rsidR="00CB424C" w:rsidRDefault="00CB424C" w:rsidP="00A371D3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Maksymalny okres gwarancji jakości, który Zamawiający uwzględni dla potrzeb oceny to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96 miesięcy od daty odbioru końcowego bez zastrzeżeń.</w:t>
      </w:r>
    </w:p>
    <w:p w14:paraId="0DD5FA90" w14:textId="480BF1EB" w:rsidR="00CB424C" w:rsidRDefault="00CB424C" w:rsidP="00A371D3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zaoferowania okresu gwarancji jakości krótszego niż minimalny wymagany, oferta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zostanie odrzucona.</w:t>
      </w:r>
    </w:p>
    <w:p w14:paraId="33890930" w14:textId="27043489" w:rsidR="00CB424C" w:rsidRDefault="00CB424C" w:rsidP="00A371D3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przypadku ofert z dłuższym okresem gwarancji niż 96 miesiące, do ich oceny zostanie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przyjęty okres 96 miesiące gwarancji, co nie zmienia tego, że Wykonawca będzie związany</w:t>
      </w:r>
      <w:r w:rsid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okresem gwarancji jakości wskazanym w złożonej przez siebie ofercie.</w:t>
      </w:r>
    </w:p>
    <w:p w14:paraId="6EC4ABDD" w14:textId="38C79910" w:rsidR="00CB424C" w:rsidRPr="00A371D3" w:rsidRDefault="00CB424C" w:rsidP="00A371D3">
      <w:pPr>
        <w:pStyle w:val="Akapitzlist"/>
        <w:numPr>
          <w:ilvl w:val="0"/>
          <w:numId w:val="13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371D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Jeżeli Wykonawca nie poda w ofercie żadnej wartości dla okresu gwarancji jakości, Zamawiający przyjmuje, iż Wykonawca zaoferował 60 miesięcy i przyzna mu w kryterium oceny oferty Okres gwarancji jakości 0 punktów.</w:t>
      </w:r>
    </w:p>
    <w:p w14:paraId="44F345E1" w14:textId="77777777" w:rsidR="007351C7" w:rsidRPr="007351C7" w:rsidRDefault="007351C7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12"/>
          <w:szCs w:val="12"/>
          <w:lang w:eastAsia="pl-PL"/>
          <w14:ligatures w14:val="none"/>
        </w:rPr>
      </w:pPr>
    </w:p>
    <w:p w14:paraId="45BA148C" w14:textId="1B06898A" w:rsidR="00497CC2" w:rsidRPr="004A6E27" w:rsidRDefault="00497CC2" w:rsidP="00497CC2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</w:t>
      </w:r>
      <w:r w:rsidR="00CB424C"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unkt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</w:t>
      </w:r>
      <w:r w:rsidR="00CB424C"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za kryterium </w:t>
      </w:r>
      <w:r w:rsidR="00CB424C" w:rsidRPr="00497CC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Okres gwarancji jakości</w:t>
      </w:r>
      <w:r w:rsidR="00CB424C"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zostaną przyznane w skali punktowej do 40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CB424C"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punktów, w następujący sposób:</w:t>
      </w:r>
    </w:p>
    <w:p w14:paraId="0A383D2F" w14:textId="60604A02" w:rsidR="00497CC2" w:rsidRDefault="00CB424C" w:rsidP="007351C7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Okres gwarancji jakości </w:t>
      </w:r>
      <w:r w:rsidR="00497C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60 miesięcy </w:t>
      </w:r>
      <w:r w:rsidR="00497C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497C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="00497CC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0 pkt</w:t>
      </w:r>
    </w:p>
    <w:p w14:paraId="563A85C6" w14:textId="4C5F98BF" w:rsidR="00497CC2" w:rsidRDefault="00497CC2" w:rsidP="007351C7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Okres gwarancji jakości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61 - 72 miesięcy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10 pkt</w:t>
      </w: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9A9CDD" w14:textId="1157A748" w:rsidR="00497CC2" w:rsidRDefault="00497CC2" w:rsidP="00497CC2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Okres gwarancji jakości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73 - 84 miesięcy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20 pkt</w:t>
      </w: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4980C6D1" w14:textId="5F71FCD4" w:rsidR="00497CC2" w:rsidRDefault="00497CC2" w:rsidP="00497CC2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Okres gwarancji jakości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85 - 95 miesięcy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30 pkt</w:t>
      </w: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58156B" w14:textId="11095C6C" w:rsidR="00497CC2" w:rsidRDefault="00497CC2" w:rsidP="00497CC2">
      <w:pPr>
        <w:pStyle w:val="Akapitzlist"/>
        <w:numPr>
          <w:ilvl w:val="0"/>
          <w:numId w:val="14"/>
        </w:numPr>
        <w:spacing w:after="0" w:line="276" w:lineRule="auto"/>
        <w:ind w:left="709" w:hanging="283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Okres gwarancji jakości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96 miesięcy i więcej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>40 pkt</w:t>
      </w:r>
      <w:r w:rsidRPr="007351C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CCE919D" w14:textId="77777777" w:rsidR="00497CC2" w:rsidRPr="00076057" w:rsidRDefault="00497CC2" w:rsidP="00076057">
      <w:p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6F97839" w14:textId="73EED0ED" w:rsidR="00CB424C" w:rsidRPr="004A6E27" w:rsidRDefault="00CB424C" w:rsidP="009312BD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</w:t>
      </w:r>
      <w:r w:rsidR="00931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 Ilość punktów przyznanych ocenianej ofercie to suma punktów P uzyskanych w</w:t>
      </w:r>
      <w:r w:rsidR="00931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poszczególnych kryteriach</w:t>
      </w:r>
      <w:r w:rsidR="009312B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 – Cena, G – Okres gwarancji.</w:t>
      </w:r>
    </w:p>
    <w:p w14:paraId="7B85DC2C" w14:textId="77777777" w:rsidR="00CB424C" w:rsidRPr="004A6E27" w:rsidRDefault="00CB424C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obliczana wg wzoru:</w:t>
      </w:r>
    </w:p>
    <w:p w14:paraId="595C9066" w14:textId="34B17E48" w:rsidR="00CB424C" w:rsidRPr="004A6E27" w:rsidRDefault="009312BD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</w:t>
      </w:r>
      <w:r w:rsidR="00CB424C" w:rsidRPr="004A6E27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 (maks. 100) = C (maks. 60) + G (maks. 40)</w:t>
      </w:r>
    </w:p>
    <w:p w14:paraId="3D710AA0" w14:textId="77777777" w:rsidR="009312BD" w:rsidRDefault="009312BD" w:rsidP="004A6E27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5C380B" w14:textId="77777777" w:rsidR="00D018B4" w:rsidRDefault="00D018B4" w:rsidP="004A6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427559" w14:textId="77777777" w:rsidR="004D38C9" w:rsidRPr="004A6E27" w:rsidRDefault="004D38C9" w:rsidP="004A6E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38C9" w:rsidRPr="004A6E27" w:rsidSect="002B5D8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20E8"/>
    <w:multiLevelType w:val="multilevel"/>
    <w:tmpl w:val="12B2A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5E0F07"/>
    <w:multiLevelType w:val="hybridMultilevel"/>
    <w:tmpl w:val="52480FD8"/>
    <w:lvl w:ilvl="0" w:tplc="6B262BB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0C90283B"/>
    <w:multiLevelType w:val="multilevel"/>
    <w:tmpl w:val="527A7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DC6930"/>
    <w:multiLevelType w:val="hybridMultilevel"/>
    <w:tmpl w:val="E620DE68"/>
    <w:lvl w:ilvl="0" w:tplc="4C282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146621"/>
    <w:multiLevelType w:val="hybridMultilevel"/>
    <w:tmpl w:val="BE2058FA"/>
    <w:lvl w:ilvl="0" w:tplc="6B262BB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2BDA7D55"/>
    <w:multiLevelType w:val="multilevel"/>
    <w:tmpl w:val="0EA8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3F7F18"/>
    <w:multiLevelType w:val="hybridMultilevel"/>
    <w:tmpl w:val="FFFFFFFF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90412F1"/>
    <w:multiLevelType w:val="multilevel"/>
    <w:tmpl w:val="A9105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2850DD"/>
    <w:multiLevelType w:val="multilevel"/>
    <w:tmpl w:val="D22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AE2BAA"/>
    <w:multiLevelType w:val="multilevel"/>
    <w:tmpl w:val="8DCC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7E2D7E"/>
    <w:multiLevelType w:val="multilevel"/>
    <w:tmpl w:val="FC560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36D177B"/>
    <w:multiLevelType w:val="hybridMultilevel"/>
    <w:tmpl w:val="0AC8E08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98025C7"/>
    <w:multiLevelType w:val="multilevel"/>
    <w:tmpl w:val="FC6EB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A66BB4"/>
    <w:multiLevelType w:val="hybridMultilevel"/>
    <w:tmpl w:val="FFFFFFFF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744D6CA0"/>
    <w:multiLevelType w:val="multilevel"/>
    <w:tmpl w:val="ED20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A130AFD"/>
    <w:multiLevelType w:val="multilevel"/>
    <w:tmpl w:val="6B8E8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32934286">
    <w:abstractNumId w:val="12"/>
  </w:num>
  <w:num w:numId="2" w16cid:durableId="1378167626">
    <w:abstractNumId w:val="15"/>
  </w:num>
  <w:num w:numId="3" w16cid:durableId="1636253833">
    <w:abstractNumId w:val="14"/>
  </w:num>
  <w:num w:numId="4" w16cid:durableId="260339339">
    <w:abstractNumId w:val="8"/>
  </w:num>
  <w:num w:numId="5" w16cid:durableId="238176423">
    <w:abstractNumId w:val="7"/>
  </w:num>
  <w:num w:numId="6" w16cid:durableId="2119329499">
    <w:abstractNumId w:val="5"/>
  </w:num>
  <w:num w:numId="7" w16cid:durableId="736322332">
    <w:abstractNumId w:val="0"/>
  </w:num>
  <w:num w:numId="8" w16cid:durableId="1650088042">
    <w:abstractNumId w:val="2"/>
  </w:num>
  <w:num w:numId="9" w16cid:durableId="642925263">
    <w:abstractNumId w:val="10"/>
  </w:num>
  <w:num w:numId="10" w16cid:durableId="1112749998">
    <w:abstractNumId w:val="9"/>
  </w:num>
  <w:num w:numId="11" w16cid:durableId="882600270">
    <w:abstractNumId w:val="6"/>
  </w:num>
  <w:num w:numId="12" w16cid:durableId="289020776">
    <w:abstractNumId w:val="13"/>
  </w:num>
  <w:num w:numId="13" w16cid:durableId="2010211272">
    <w:abstractNumId w:val="4"/>
  </w:num>
  <w:num w:numId="14" w16cid:durableId="914048157">
    <w:abstractNumId w:val="1"/>
  </w:num>
  <w:num w:numId="15" w16cid:durableId="572931848">
    <w:abstractNumId w:val="11"/>
  </w:num>
  <w:num w:numId="16" w16cid:durableId="15460184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82"/>
    <w:rsid w:val="00020E7B"/>
    <w:rsid w:val="000210DA"/>
    <w:rsid w:val="00026CC9"/>
    <w:rsid w:val="0004656B"/>
    <w:rsid w:val="00046620"/>
    <w:rsid w:val="00053A10"/>
    <w:rsid w:val="000624DA"/>
    <w:rsid w:val="00076057"/>
    <w:rsid w:val="00092B9B"/>
    <w:rsid w:val="000E3E75"/>
    <w:rsid w:val="001035F2"/>
    <w:rsid w:val="00123A26"/>
    <w:rsid w:val="00156AA4"/>
    <w:rsid w:val="001C56ED"/>
    <w:rsid w:val="002B5D8C"/>
    <w:rsid w:val="002E1ED9"/>
    <w:rsid w:val="00301914"/>
    <w:rsid w:val="00370EA8"/>
    <w:rsid w:val="00381877"/>
    <w:rsid w:val="003A4885"/>
    <w:rsid w:val="003F13FB"/>
    <w:rsid w:val="00496F9E"/>
    <w:rsid w:val="00497CC2"/>
    <w:rsid w:val="004A6E27"/>
    <w:rsid w:val="004D38C9"/>
    <w:rsid w:val="00533041"/>
    <w:rsid w:val="005619C6"/>
    <w:rsid w:val="0061285F"/>
    <w:rsid w:val="0069284E"/>
    <w:rsid w:val="006939A2"/>
    <w:rsid w:val="00697A9D"/>
    <w:rsid w:val="006C0468"/>
    <w:rsid w:val="00725230"/>
    <w:rsid w:val="007351C7"/>
    <w:rsid w:val="007456AA"/>
    <w:rsid w:val="00762477"/>
    <w:rsid w:val="007714C3"/>
    <w:rsid w:val="00783D9D"/>
    <w:rsid w:val="007922B7"/>
    <w:rsid w:val="007A6C62"/>
    <w:rsid w:val="008617E6"/>
    <w:rsid w:val="008843DF"/>
    <w:rsid w:val="008B15A8"/>
    <w:rsid w:val="009312BD"/>
    <w:rsid w:val="009441B4"/>
    <w:rsid w:val="0095572E"/>
    <w:rsid w:val="00964607"/>
    <w:rsid w:val="009C7088"/>
    <w:rsid w:val="009D1E11"/>
    <w:rsid w:val="00A02F6B"/>
    <w:rsid w:val="00A156C4"/>
    <w:rsid w:val="00A371D3"/>
    <w:rsid w:val="00A44677"/>
    <w:rsid w:val="00A73920"/>
    <w:rsid w:val="00AC31F5"/>
    <w:rsid w:val="00B04F2A"/>
    <w:rsid w:val="00B45C52"/>
    <w:rsid w:val="00B532AD"/>
    <w:rsid w:val="00B641B4"/>
    <w:rsid w:val="00B72997"/>
    <w:rsid w:val="00BB46CD"/>
    <w:rsid w:val="00BE7398"/>
    <w:rsid w:val="00C11734"/>
    <w:rsid w:val="00C8269E"/>
    <w:rsid w:val="00CB424C"/>
    <w:rsid w:val="00CB7349"/>
    <w:rsid w:val="00CC4F39"/>
    <w:rsid w:val="00D018B4"/>
    <w:rsid w:val="00D515EE"/>
    <w:rsid w:val="00D76082"/>
    <w:rsid w:val="00E2112E"/>
    <w:rsid w:val="00E45B40"/>
    <w:rsid w:val="00E85542"/>
    <w:rsid w:val="00EA2F23"/>
    <w:rsid w:val="00EC6CD7"/>
    <w:rsid w:val="00F06476"/>
    <w:rsid w:val="00F610A9"/>
    <w:rsid w:val="00FA397C"/>
    <w:rsid w:val="00FD0E28"/>
    <w:rsid w:val="00FD22D1"/>
    <w:rsid w:val="00FE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B0491"/>
  <w15:chartTrackingRefBased/>
  <w15:docId w15:val="{FB688DE9-DC82-41AC-8FA6-D491C7DB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as-text-align-center">
    <w:name w:val="has-text-align-center"/>
    <w:basedOn w:val="Normalny"/>
    <w:rsid w:val="00D7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76082"/>
    <w:rPr>
      <w:b/>
      <w:bCs/>
    </w:rPr>
  </w:style>
  <w:style w:type="paragraph" w:customStyle="1" w:styleId="has-text-align-right">
    <w:name w:val="has-text-align-right"/>
    <w:basedOn w:val="Normalny"/>
    <w:rsid w:val="00D7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D76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Uwydatnienie">
    <w:name w:val="Emphasis"/>
    <w:basedOn w:val="Domylnaczcionkaakapitu"/>
    <w:uiPriority w:val="20"/>
    <w:qFormat/>
    <w:rsid w:val="00D76082"/>
    <w:rPr>
      <w:i/>
      <w:iCs/>
    </w:rPr>
  </w:style>
  <w:style w:type="character" w:styleId="Hipercze">
    <w:name w:val="Hyperlink"/>
    <w:basedOn w:val="Domylnaczcionkaakapitu"/>
    <w:uiPriority w:val="99"/>
    <w:unhideWhenUsed/>
    <w:rsid w:val="007A6C6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A6C62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7A6C62"/>
    <w:pPr>
      <w:ind w:left="720"/>
      <w:contextualSpacing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B45C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1453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Jonakowski</dc:creator>
  <cp:keywords/>
  <dc:description/>
  <cp:lastModifiedBy>Aneta Witkowska</cp:lastModifiedBy>
  <cp:revision>79</cp:revision>
  <dcterms:created xsi:type="dcterms:W3CDTF">2023-09-03T07:36:00Z</dcterms:created>
  <dcterms:modified xsi:type="dcterms:W3CDTF">2023-09-27T12:42:00Z</dcterms:modified>
</cp:coreProperties>
</file>